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trHeight w:val="220" w:hRule="exact"/>
        </w:trPr>
        <w:tc>
          <w:tcPr>
            <w:tcW w:type="dxa" w:w="1020"/>
            <w:shd w:val="clear" w:color="auto" w:fill="DB2777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C9256E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B6246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A4225D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912054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7F1E4C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C1D43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5A1B3B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471932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351729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221621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101418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01418"/>
                <w:sz w:val="68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top w:val="single" w:sz="16" w:space="0" w:color="DB2777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top w:val="single" w:sz="16" w:space="0" w:color="DB2777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top w:val="single" w:sz="16" w:space="0" w:color="DB2777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B2777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DB2777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02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03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04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05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06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07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08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09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3" w:space="0" w:color="DB2777"/>
              <w:left w:val="single" w:sz="13" w:space="0" w:color="DB2777"/>
              <w:bottom w:val="single" w:sz="13" w:space="0" w:color="DB2777"/>
              <w:right w:val="single" w:sz="13" w:space="0" w:color="DB2777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B2777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DB2777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Marquee invoice template</dc:title>
  <dc:subject/>
  <dc:creator>InvoiceTools.com</dc:creator>
  <cp:keywords/>
  <dc:description>Design: The Marquee.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