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36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536"/>
      </w:tblGrid>
      <w:tr>
        <w:trPr>
          <w:trHeight w:val="680" w:hRule="atLeast"/>
        </w:trPr>
        <w:tc>
          <w:tcPr>
            <w:tcW w:type="dxa" w:w="4536"/>
            <w:shd w:val="clear" w:color="auto" w:fill="A21CAF"/>
            <w:tcMar>
              <w:top w:w="288" w:type="dxa"/>
              <w:left w:w="1224" w:type="dxa"/>
              <w:bottom w:w="288" w:type="dxa"/>
              <w:right w:w="288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FFFFF"/>
                <w:spacing w:val="44"/>
                <w:sz w:val="28"/>
              </w:rPr>
              <w:t>Invoice</w:t>
            </w:r>
          </w:p>
        </w:tc>
      </w:tr>
    </w:tbl>
    <w:p>
      <w:pPr>
        <w:spacing w:after="0" w:before="0" w:line="280" w:lineRule="exact"/>
        <w:rPr>
          <w:sz w:val="28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/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520" w:hRule="exact"/>
        </w:trPr>
        <w:tc>
          <w:tcPr>
            <w:tcW w:type="dxa" w:w="5616"/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A21CAF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A21CAF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Radial invoice template</dc:title>
  <dc:subject/>
  <dc:creator>InvoiceTools.com</dc:creator>
  <cp:keywords/>
  <dc:description>Design: The Radial.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