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36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536"/>
      </w:tblGrid>
      <w:tr>
        <w:trPr>
          <w:trHeight w:val="680" w:hRule="atLeast"/>
        </w:trPr>
        <w:tc>
          <w:tcPr>
            <w:tcW w:type="dxa" w:w="4536"/>
            <w:shd w:val="clear" w:color="auto" w:fill="166534"/>
            <w:tcMar>
              <w:top w:w="288" w:type="dxa"/>
              <w:left w:w="1224" w:type="dxa"/>
              <w:bottom w:w="288" w:type="dxa"/>
              <w:right w:w="288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FFFFFF"/>
                <w:spacing w:val="44"/>
                <w:sz w:val="28"/>
              </w:rPr>
              <w:t>INVOICE</w:t>
            </w:r>
          </w:p>
        </w:tc>
      </w:tr>
    </w:tbl>
    <w:p>
      <w:pPr>
        <w:spacing w:after="0" w:before="0" w:line="280" w:lineRule="exact"/>
        <w:rPr>
          <w:sz w:val="28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/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166534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left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101418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101418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166534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166534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Staircase invoice template</dc:title>
  <dc:subject/>
  <dc:creator>InvoiceTools.com</dc:creator>
  <cp:keywords/>
  <dc:description>Design: The Staircase.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